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53C26" w14:textId="77777777" w:rsidR="00A033A8" w:rsidRDefault="00A033A8" w:rsidP="00A033A8">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E1153BF" w14:textId="77777777" w:rsidR="00A033A8" w:rsidRDefault="00A033A8" w:rsidP="00A033A8">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39C6AD57" w14:textId="77777777" w:rsidR="00A033A8" w:rsidRDefault="00A033A8" w:rsidP="00A033A8">
      <w:pPr>
        <w:widowControl w:val="0"/>
        <w:bidi/>
        <w:spacing w:after="0"/>
        <w:jc w:val="center"/>
        <w:rPr>
          <w:rFonts w:cs="B Mitra" w:hint="cs"/>
          <w:b/>
          <w:bCs/>
          <w:sz w:val="32"/>
          <w:szCs w:val="32"/>
          <w:rtl/>
          <w:lang w:bidi="fa-IR"/>
        </w:rPr>
      </w:pPr>
      <w:r>
        <w:rPr>
          <w:rFonts w:cs="B Mitra" w:hint="cs"/>
          <w:b/>
          <w:bCs/>
          <w:sz w:val="32"/>
          <w:szCs w:val="32"/>
          <w:rtl/>
          <w:lang w:bidi="fa-IR"/>
        </w:rPr>
        <w:t>جلسه 925</w:t>
      </w:r>
    </w:p>
    <w:p w14:paraId="15F4AC1D" w14:textId="77777777" w:rsidR="00A033A8" w:rsidRDefault="00A033A8" w:rsidP="00A033A8">
      <w:pPr>
        <w:widowControl w:val="0"/>
        <w:bidi/>
        <w:spacing w:after="0" w:line="261" w:lineRule="auto"/>
        <w:ind w:firstLine="284"/>
        <w:jc w:val="both"/>
        <w:rPr>
          <w:rFonts w:cs="Abz-2 (Badr)" w:hint="cs"/>
          <w:color w:val="C45911" w:themeColor="accent2" w:themeShade="BF"/>
          <w:sz w:val="28"/>
          <w:szCs w:val="28"/>
          <w:rtl/>
          <w:lang w:bidi="fa-IR"/>
        </w:rPr>
      </w:pPr>
    </w:p>
    <w:p w14:paraId="667B8F47" w14:textId="77777777" w:rsidR="00A033A8" w:rsidRDefault="00A033A8" w:rsidP="00A033A8">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ادامه ادله کسانی که قائل به عدم مدخليت تمکن از نفقه در کفايت هستند به قرار ذيل است:</w:t>
      </w:r>
    </w:p>
    <w:p w14:paraId="2D348038" w14:textId="77777777" w:rsidR="00A033A8" w:rsidRDefault="00A033A8" w:rsidP="00A033A8">
      <w:pPr>
        <w:widowControl w:val="0"/>
        <w:bidi/>
        <w:spacing w:after="0"/>
        <w:ind w:firstLine="284"/>
        <w:jc w:val="both"/>
        <w:rPr>
          <w:rFonts w:cs="Abz-2 (Badr)" w:hint="cs"/>
          <w:color w:val="000000" w:themeColor="text1"/>
          <w:sz w:val="28"/>
          <w:szCs w:val="28"/>
          <w:rtl/>
          <w:lang w:bidi="fa-IR"/>
        </w:rPr>
      </w:pPr>
      <w:r>
        <w:rPr>
          <w:rFonts w:cs="Abz-2 (Badr)" w:hint="cs"/>
          <w:color w:val="00B050"/>
          <w:sz w:val="28"/>
          <w:szCs w:val="28"/>
          <w:rtl/>
          <w:lang w:bidi="fa-IR"/>
        </w:rPr>
        <w:t>2 ـ</w:t>
      </w:r>
      <w:r>
        <w:rPr>
          <w:rFonts w:cs="Abz-2 (Badr)" w:hint="cs"/>
          <w:color w:val="000000" w:themeColor="text1"/>
          <w:sz w:val="28"/>
          <w:szCs w:val="28"/>
          <w:rtl/>
          <w:lang w:bidi="fa-IR"/>
        </w:rPr>
        <w:t xml:space="preserve"> صحيحة أبي حمزة الثمالي، قال: </w:t>
      </w:r>
      <w:r>
        <w:rPr>
          <w:rFonts w:ascii="Noor_Nazli" w:eastAsia="Times New Roman" w:hAnsi="Noor_Nazli" w:cs="Abz-2 (Badr)" w:hint="cs"/>
          <w:color w:val="70AD47" w:themeColor="accent6"/>
          <w:sz w:val="28"/>
          <w:szCs w:val="28"/>
          <w:rtl/>
          <w:lang w:bidi="ar"/>
        </w:rPr>
        <w:t>«كنت عند أبي جعفر(ع) إذا استأذن عليه رجل فأذن له فدخل عليه فسلّم فرحّب به أبو جعفر(ع) وأدناه وسأله. فقال الرجل: جعلت فدا</w:t>
      </w:r>
      <w:r>
        <w:rPr>
          <w:rFonts w:ascii="Noor_Nazli" w:eastAsia="Times New Roman" w:hAnsi="Noor_Nazli" w:cs="Abz-2 (Badr)" w:hint="cs"/>
          <w:color w:val="70AD47" w:themeColor="accent6"/>
          <w:sz w:val="28"/>
          <w:szCs w:val="28"/>
          <w:rtl/>
        </w:rPr>
        <w:t>ك</w:t>
      </w:r>
      <w:r>
        <w:rPr>
          <w:rFonts w:ascii="Noor_Nazli" w:eastAsia="Times New Roman" w:hAnsi="Noor_Nazli" w:cs="Abz-2 (Badr)" w:hint="cs"/>
          <w:color w:val="70AD47" w:themeColor="accent6"/>
          <w:sz w:val="28"/>
          <w:szCs w:val="28"/>
          <w:rtl/>
          <w:lang w:bidi="fa-IR"/>
        </w:rPr>
        <w:t xml:space="preserve">! </w:t>
      </w:r>
      <w:r>
        <w:rPr>
          <w:rFonts w:ascii="Noor_Nazli" w:eastAsia="Times New Roman" w:hAnsi="Noor_Nazli" w:cs="Abz-2 (Badr)" w:hint="cs"/>
          <w:color w:val="70AD47" w:themeColor="accent6"/>
          <w:sz w:val="28"/>
          <w:szCs w:val="28"/>
          <w:rtl/>
          <w:lang w:bidi="ar"/>
        </w:rPr>
        <w:t>إنّي خطبت إلى مولاك فلان بن أبي رافع ابنته فلانة فردّني ورغب عنّي وازدرأني</w:t>
      </w:r>
      <w:r>
        <w:rPr>
          <w:rStyle w:val="FootnoteReference"/>
          <w:rFonts w:cs="Abz-2 (Badr)"/>
          <w:color w:val="000000" w:themeColor="text1"/>
          <w:sz w:val="28"/>
          <w:szCs w:val="28"/>
          <w:rtl/>
          <w:lang w:bidi="ar"/>
        </w:rPr>
        <w:footnoteReference w:id="1"/>
      </w:r>
      <w:r>
        <w:rPr>
          <w:rFonts w:cs="Abz-2 (Badr)" w:hint="cs"/>
          <w:color w:val="000000" w:themeColor="text1"/>
          <w:sz w:val="28"/>
          <w:szCs w:val="28"/>
          <w:lang w:bidi="fa-IR"/>
        </w:rPr>
        <w:t>‌</w:t>
      </w:r>
      <w:r>
        <w:rPr>
          <w:rFonts w:ascii="Noor_Nazli" w:eastAsia="Times New Roman" w:hAnsi="Noor_Nazli" w:cs="Abz-2 (Badr)" w:hint="cs"/>
          <w:color w:val="70AD47" w:themeColor="accent6"/>
          <w:sz w:val="28"/>
          <w:szCs w:val="28"/>
          <w:rtl/>
          <w:lang w:bidi="ar"/>
        </w:rPr>
        <w:t xml:space="preserve"> لدَمامتي</w:t>
      </w:r>
      <w:r>
        <w:rPr>
          <w:rStyle w:val="FootnoteReference"/>
          <w:rFonts w:cs="Abz-2 (Badr)"/>
          <w:color w:val="000000" w:themeColor="text1"/>
          <w:sz w:val="28"/>
          <w:szCs w:val="28"/>
          <w:rtl/>
          <w:lang w:bidi="ar"/>
        </w:rPr>
        <w:footnoteReference w:id="2"/>
      </w:r>
      <w:r>
        <w:rPr>
          <w:rFonts w:cs="Abz-2 (Badr)" w:hint="cs"/>
          <w:color w:val="000000" w:themeColor="text1"/>
          <w:sz w:val="28"/>
          <w:szCs w:val="28"/>
          <w:lang w:bidi="fa-IR"/>
        </w:rPr>
        <w:t>‌</w:t>
      </w:r>
      <w:r>
        <w:rPr>
          <w:rFonts w:ascii="Noor_Nazli" w:eastAsia="Times New Roman" w:hAnsi="Noor_Nazli" w:cs="Abz-2 (Badr)" w:hint="cs"/>
          <w:color w:val="70AD47" w:themeColor="accent6"/>
          <w:sz w:val="28"/>
          <w:szCs w:val="28"/>
          <w:rtl/>
          <w:lang w:bidi="ar"/>
        </w:rPr>
        <w:t xml:space="preserve"> وحاجتي وغربتي، وقد دخلني من ذل</w:t>
      </w:r>
      <w:r>
        <w:rPr>
          <w:rFonts w:ascii="Noor_Nazli" w:eastAsia="Times New Roman" w:hAnsi="Noor_Nazli" w:cs="Abz-2 (Badr)" w:hint="cs"/>
          <w:color w:val="70AD47" w:themeColor="accent6"/>
          <w:sz w:val="28"/>
          <w:szCs w:val="28"/>
          <w:rtl/>
        </w:rPr>
        <w:t>ك غَضاضة</w:t>
      </w:r>
      <w:r>
        <w:rPr>
          <w:rStyle w:val="FootnoteReference"/>
          <w:rFonts w:cs="Abz-2 (Badr)"/>
          <w:color w:val="000000" w:themeColor="text1"/>
          <w:sz w:val="28"/>
          <w:szCs w:val="28"/>
          <w:rtl/>
          <w:lang w:bidi="ar"/>
        </w:rPr>
        <w:footnoteReference w:id="3"/>
      </w:r>
      <w:r>
        <w:rPr>
          <w:rFonts w:cs="Abz-2 (Badr)" w:hint="cs"/>
          <w:color w:val="000000" w:themeColor="text1"/>
          <w:sz w:val="28"/>
          <w:szCs w:val="28"/>
          <w:lang w:bidi="fa-IR"/>
        </w:rPr>
        <w:t>‌</w:t>
      </w:r>
      <w:r>
        <w:rPr>
          <w:rFonts w:ascii="Noor_Nazli" w:eastAsia="Times New Roman" w:hAnsi="Noor_Nazli" w:cs="Abz-2 (Badr)" w:hint="cs"/>
          <w:color w:val="70AD47" w:themeColor="accent6"/>
          <w:sz w:val="28"/>
          <w:szCs w:val="28"/>
          <w:rtl/>
        </w:rPr>
        <w:t xml:space="preserve"> هَجْمة غُضّ لها قلبي تمنّيت عندها الموت</w:t>
      </w:r>
      <w:r>
        <w:rPr>
          <w:rFonts w:ascii="Noor_Nazli" w:eastAsia="Times New Roman" w:hAnsi="Noor_Nazli" w:cs="Abz-2 (Badr)" w:hint="cs"/>
          <w:color w:val="70AD47" w:themeColor="accent6"/>
          <w:sz w:val="28"/>
          <w:szCs w:val="28"/>
          <w:rtl/>
          <w:lang w:bidi="ar"/>
        </w:rPr>
        <w:t>. فقال أبو جعفر(ع): اذهب فأنت رسولي إليه، وقل له: يقول لك محمّد بن عليّ بن الحسين بن عليّ بن أبي طالب(ع): زوّج مُنجِح بن رَباح مولاي ابنتك فلانة ولا تردّه. قال أبو حمزة: فوثب الرجل فرحاً مسرعاً برسالة أبي جعفر(ع). فلمّا أن تواری الرجل قال أبو جعفر(ع): إنّ رجلاً كان من أهل اليمامة يقال له جويبر، أتى رسول الله(ص) منتجعاً</w:t>
      </w:r>
      <w:r>
        <w:rPr>
          <w:rStyle w:val="FootnoteReference"/>
          <w:rFonts w:cs="Abz-2 (Badr)"/>
          <w:color w:val="000000" w:themeColor="text1"/>
          <w:sz w:val="28"/>
          <w:szCs w:val="28"/>
          <w:rtl/>
          <w:lang w:bidi="ar"/>
        </w:rPr>
        <w:footnoteReference w:id="4"/>
      </w:r>
      <w:r>
        <w:rPr>
          <w:rFonts w:cs="Abz-2 (Badr)" w:hint="cs"/>
          <w:color w:val="000000" w:themeColor="text1"/>
          <w:sz w:val="28"/>
          <w:szCs w:val="28"/>
          <w:lang w:bidi="fa-IR"/>
        </w:rPr>
        <w:t>‌</w:t>
      </w:r>
      <w:r>
        <w:rPr>
          <w:rFonts w:ascii="Noor_Nazli" w:eastAsia="Times New Roman" w:hAnsi="Noor_Nazli" w:cs="Abz-2 (Badr)" w:hint="cs"/>
          <w:color w:val="70AD47" w:themeColor="accent6"/>
          <w:sz w:val="28"/>
          <w:szCs w:val="28"/>
          <w:rtl/>
          <w:lang w:bidi="ar"/>
        </w:rPr>
        <w:t xml:space="preserve"> للإسلام فأسلم وحسن إسلامه وكان رجلاً قصيراً دميماً محتاجاً عارياً وكان من قباح السودان... فإنّ رسول الله(ص) نظر إلى </w:t>
      </w:r>
      <w:r>
        <w:rPr>
          <w:rFonts w:ascii="Noor_Nazli" w:eastAsia="Times New Roman" w:hAnsi="Noor_Nazli" w:cs="Abz-2 (Badr)" w:hint="cs"/>
          <w:color w:val="70AD47" w:themeColor="accent6"/>
          <w:sz w:val="28"/>
          <w:szCs w:val="28"/>
          <w:rtl/>
          <w:lang w:bidi="ar"/>
        </w:rPr>
        <w:lastRenderedPageBreak/>
        <w:t>جويبر ذات يوم برحمة منه له ورقّة عليه فقال له: يا جويبر! لو تزوّجت امرأة فعففت بها فرجك وأعانتك على دنياك وآخرتك. فقال له جويبر: يا رسول الله! بأبي أنت وأُمّي، من يرغب فيّ؟ فو الله ما من حسب ولا نسب ولا مال ولا جمال، فأيّة امرأة ترغب فيّ؟ فقال له رسول الله(ص): يا جويبر! إنّ الله قد وضع بالإسلام من كان في الجاهليّة شريفاً وشرّف بالإسلام من كان في الجاهليّة وضيعاً... ثمّ قال له: انطلق يا جويبر إلى زياد بن لَبيد، فإنّه من أشرف بني بياضة حسباً فيهم، فقل له: إنّي رسول رسول الله(ص) إليك وهو يقول لك: زوّج جويبراً ابنتك الدَلفاء...»</w:t>
      </w:r>
      <w:r>
        <w:rPr>
          <w:rStyle w:val="FootnoteReference"/>
          <w:rFonts w:cs="Abz-2 (Badr)"/>
          <w:color w:val="000000" w:themeColor="text1"/>
          <w:sz w:val="28"/>
          <w:szCs w:val="28"/>
          <w:rtl/>
          <w:lang w:bidi="ar"/>
        </w:rPr>
        <w:footnoteReference w:id="5"/>
      </w:r>
      <w:r>
        <w:rPr>
          <w:rFonts w:cs="Abz-2 (Badr)" w:hint="cs"/>
          <w:color w:val="000000" w:themeColor="text1"/>
          <w:sz w:val="28"/>
          <w:szCs w:val="28"/>
          <w:lang w:bidi="fa-IR"/>
        </w:rPr>
        <w:t>‌</w:t>
      </w:r>
    </w:p>
    <w:p w14:paraId="5227AD9F" w14:textId="77777777" w:rsidR="00A033A8" w:rsidRDefault="00A033A8" w:rsidP="00A033A8">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روايت نيز دلالت تام بر عدم دخالت تمکن مالی زوج در کفايت دارد.</w:t>
      </w:r>
    </w:p>
    <w:p w14:paraId="573C9F53" w14:textId="77777777" w:rsidR="00A033A8" w:rsidRDefault="00A033A8" w:rsidP="00A033A8">
      <w:pPr>
        <w:widowControl w:val="0"/>
        <w:bidi/>
        <w:spacing w:after="0" w:line="252" w:lineRule="auto"/>
        <w:ind w:firstLine="284"/>
        <w:jc w:val="both"/>
        <w:rPr>
          <w:rFonts w:cs="Abz-2 (Badr)"/>
          <w:color w:val="000000" w:themeColor="text1"/>
          <w:sz w:val="28"/>
          <w:szCs w:val="28"/>
          <w:lang w:bidi="fa-IR"/>
        </w:rPr>
      </w:pPr>
      <w:r>
        <w:rPr>
          <w:rFonts w:cs="Abz-2 (Badr)" w:hint="cs"/>
          <w:color w:val="00B050"/>
          <w:sz w:val="28"/>
          <w:szCs w:val="28"/>
          <w:rtl/>
          <w:lang w:bidi="fa-IR"/>
        </w:rPr>
        <w:t xml:space="preserve">3 ـ </w:t>
      </w:r>
      <w:r>
        <w:rPr>
          <w:rFonts w:cs="Abz-2 (Badr)" w:hint="cs"/>
          <w:color w:val="000000" w:themeColor="text1"/>
          <w:sz w:val="28"/>
          <w:szCs w:val="28"/>
          <w:rtl/>
          <w:lang w:bidi="fa-IR"/>
        </w:rPr>
        <w:t>اخباری که سابقاً گذشت و در آنها امر به تزويج دختران به کسانی می</w:t>
      </w:r>
      <w:r>
        <w:rPr>
          <w:rFonts w:cs="Abz-2 (Badr)" w:hint="cs"/>
          <w:color w:val="000000" w:themeColor="text1"/>
          <w:sz w:val="28"/>
          <w:szCs w:val="28"/>
          <w:cs/>
          <w:lang w:bidi="fa-IR"/>
        </w:rPr>
        <w:t>‎</w:t>
      </w:r>
      <w:r>
        <w:rPr>
          <w:rFonts w:cs="Abz-2 (Badr)" w:hint="cs"/>
          <w:color w:val="000000" w:themeColor="text1"/>
          <w:sz w:val="28"/>
          <w:szCs w:val="28"/>
          <w:rtl/>
          <w:lang w:bidi="fa-IR"/>
        </w:rPr>
        <w:t>کند که از دين و خلق او رضايت وجود دارد.</w:t>
      </w:r>
    </w:p>
    <w:p w14:paraId="4BB928F0" w14:textId="77777777" w:rsidR="00A033A8" w:rsidRDefault="00A033A8" w:rsidP="00A033A8">
      <w:pPr>
        <w:widowControl w:val="0"/>
        <w:bidi/>
        <w:spacing w:after="0" w:line="25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در نتيجه آنچه که در اين مسأله می</w:t>
      </w:r>
      <w:r>
        <w:rPr>
          <w:rFonts w:cs="Abz-2 (Badr)" w:hint="cs"/>
          <w:color w:val="000000" w:themeColor="text1"/>
          <w:sz w:val="28"/>
          <w:szCs w:val="28"/>
          <w:rtl/>
          <w:lang w:bidi="fa-IR"/>
        </w:rPr>
        <w:softHyphen/>
        <w:t>توان به آن ملتزم شد اين است که عدم تمکّن زوج از نفقه در ابتدای نکاح مدخليتی در صحت و فساد نکاح نداشته و مجوز فسخ نکاح نيز نمی</w:t>
      </w:r>
      <w:r>
        <w:rPr>
          <w:rFonts w:cs="Abz-2 (Badr)" w:hint="cs"/>
          <w:color w:val="000000" w:themeColor="text1"/>
          <w:sz w:val="28"/>
          <w:szCs w:val="28"/>
          <w:rtl/>
          <w:lang w:bidi="fa-IR"/>
        </w:rPr>
        <w:softHyphen/>
        <w:t>باشد.</w:t>
      </w:r>
    </w:p>
    <w:p w14:paraId="19646DB6" w14:textId="77777777" w:rsidR="00A033A8" w:rsidRDefault="00A033A8" w:rsidP="00A033A8">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البته چنانچه در نکاح يسار زوج شرط شده باشد و يا اين که اين مطلب به حسب مورد، از شروط عرفی ارتکازی ضمن نکاح باشد، زوجه می</w:t>
      </w:r>
      <w:r>
        <w:rPr>
          <w:rFonts w:cs="Abz-2 (Badr)" w:hint="cs"/>
          <w:color w:val="000000" w:themeColor="text1"/>
          <w:sz w:val="28"/>
          <w:szCs w:val="28"/>
          <w:rtl/>
          <w:lang w:bidi="fa-IR"/>
        </w:rPr>
        <w:softHyphen/>
        <w:t>تواند از باب تدليس نکاح را فسخ نمايد و تفصيل اين مطلب سابقاً و در بحث از مجوزات فسخ نکاح گذشت و گفتيم که فسخ نکاح به واسطه تدليس، منحصر در تدليس در موارد خاص نيست و هر تدليسی مجوز فسخ نکاح است.</w:t>
      </w:r>
    </w:p>
    <w:p w14:paraId="3CD18F85" w14:textId="77777777" w:rsidR="00A033A8" w:rsidRDefault="00A033A8" w:rsidP="00A033A8">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 نيز چنانچه انکاح توسط ولی يا وکيل صورت پذيرفته باشد و انکاح به زوجی که متمکن از نفقه نيست، خروج </w:t>
      </w:r>
      <w:r>
        <w:rPr>
          <w:rFonts w:cs="Abz-2 (Badr)" w:hint="cs"/>
          <w:color w:val="000000" w:themeColor="text1"/>
          <w:sz w:val="28"/>
          <w:szCs w:val="28"/>
          <w:rtl/>
          <w:lang w:bidi="fa-IR"/>
        </w:rPr>
        <w:lastRenderedPageBreak/>
        <w:t>از دايره ولايت يا وکالت باشد، نکاح مذکور فضولی شده و زوجه حق رد يا امضای آن را دارد.</w:t>
      </w:r>
    </w:p>
    <w:p w14:paraId="4E7BC831" w14:textId="77777777" w:rsidR="00A033A8" w:rsidRDefault="00A033A8" w:rsidP="00A033A8">
      <w:pPr>
        <w:widowControl w:val="0"/>
        <w:bidi/>
        <w:spacing w:after="0" w:line="252" w:lineRule="auto"/>
        <w:ind w:firstLine="284"/>
        <w:jc w:val="both"/>
        <w:rPr>
          <w:rFonts w:cs="Abz-2 (Badr)" w:hint="cs"/>
          <w:color w:val="7030A0"/>
          <w:sz w:val="28"/>
          <w:szCs w:val="28"/>
          <w:rtl/>
          <w:lang w:bidi="fa-IR"/>
        </w:rPr>
      </w:pPr>
      <w:r>
        <w:rPr>
          <w:rFonts w:cs="Abz-2 (Badr)" w:hint="cs"/>
          <w:color w:val="7030A0"/>
          <w:sz w:val="28"/>
          <w:szCs w:val="28"/>
          <w:rtl/>
          <w:lang w:bidi="fa-IR"/>
        </w:rPr>
        <w:t>مقام دوم: عدم قدرت زوج بر تأمين نفقه زوجه بعد از نکاح</w:t>
      </w:r>
    </w:p>
    <w:p w14:paraId="7DBBE8B2" w14:textId="77777777" w:rsidR="00A033A8" w:rsidRDefault="00A033A8" w:rsidP="00A033A8">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چنانچه زوج بعد از ازدواج، دچار تنگنای مالی شود و قدرت بر تأمين نفقه زوجه را از دست بدهد، آيا در اين صورت زوجه حقی برای فسخ نکاح يا مطالبه طلاق خواهد داشت؟</w:t>
      </w:r>
    </w:p>
    <w:p w14:paraId="2CDB0042" w14:textId="77777777" w:rsidR="00A033A8" w:rsidRDefault="00A033A8" w:rsidP="00A033A8">
      <w:pPr>
        <w:widowControl w:val="0"/>
        <w:bidi/>
        <w:spacing w:after="0" w:line="261" w:lineRule="auto"/>
        <w:ind w:firstLine="284"/>
        <w:jc w:val="both"/>
        <w:rPr>
          <w:rFonts w:cs="Abz-2 (Badr)" w:hint="cs"/>
          <w:color w:val="0070C0"/>
          <w:sz w:val="28"/>
          <w:szCs w:val="28"/>
          <w:rtl/>
          <w:lang w:bidi="fa-IR"/>
        </w:rPr>
      </w:pPr>
      <w:r>
        <w:rPr>
          <w:rFonts w:cs="Abz-2 (Badr)" w:hint="cs"/>
          <w:color w:val="000000" w:themeColor="text1"/>
          <w:sz w:val="28"/>
          <w:szCs w:val="28"/>
          <w:rtl/>
          <w:lang w:bidi="fa-IR"/>
        </w:rPr>
        <w:t>شيخ در خلاف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«إذا أعسر فلم يقدر على النفقة على زوجته، لم تملك زوجته الفسخ وعليها أن تصبر إلى أن يوسر؛ وبه قال من التابعين الزهري، وعطاء بن يسار، وإليه ذهب أهل الكوفة؛ ابن أبي ليلى، وابن شبرمة، وأبو حنيفة، وأبو يوسف، ومحمّد.</w:t>
      </w:r>
    </w:p>
    <w:p w14:paraId="68A5A6BC" w14:textId="77777777" w:rsidR="00A033A8" w:rsidRDefault="00A033A8" w:rsidP="00A033A8">
      <w:pPr>
        <w:widowControl w:val="0"/>
        <w:bidi/>
        <w:spacing w:after="0" w:line="261" w:lineRule="auto"/>
        <w:ind w:firstLine="284"/>
        <w:jc w:val="both"/>
        <w:rPr>
          <w:rFonts w:cs="Abz-2 (Badr)"/>
          <w:color w:val="0070C0"/>
          <w:sz w:val="28"/>
          <w:szCs w:val="28"/>
          <w:lang w:bidi="fa-IR"/>
        </w:rPr>
      </w:pPr>
      <w:r>
        <w:rPr>
          <w:rFonts w:cs="Abz-2 (Badr)" w:hint="cs"/>
          <w:color w:val="0070C0"/>
          <w:sz w:val="28"/>
          <w:szCs w:val="28"/>
          <w:rtl/>
          <w:lang w:bidi="fa-IR"/>
        </w:rPr>
        <w:t>وقال الشافعي: هي مخيّرة بين أن تصبر حتّى إذا أيسر استوفت ما اجتمع لها، وبين أن تختار الفسخ، فيفسخ الحاكم بينهما. وكذلك إذا أعسر بالصداق قبل الدخول، فالاعسار عيب بذمّته، فلها الفسخ. وبه قال في الصحابة ـ على ما رووه ـ علي(ع)، وعمر، وأبو هريرة؛ وفي التابعين سعيد بن المسيّب وسليمان بن يسار، وعطاء بن أبي رباح؛ وفي الفقهاء حمّاد بن أبي سليمان، وربيعة بن أبي عبدالرحمن، ومالك، وأحمد، وإسحاق.</w:t>
      </w:r>
    </w:p>
    <w:p w14:paraId="35FA746E" w14:textId="77777777" w:rsidR="00A033A8" w:rsidRDefault="00A033A8" w:rsidP="00A033A8">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fa-IR"/>
        </w:rPr>
        <w:t xml:space="preserve">دليلنا: قوله تعالى: </w:t>
      </w:r>
      <w:r>
        <w:rPr>
          <w:rFonts w:cs="QuranTaha" w:hint="cs"/>
          <w:color w:val="BF8F00" w:themeColor="accent4" w:themeShade="BF"/>
          <w:sz w:val="26"/>
          <w:szCs w:val="26"/>
          <w:rtl/>
          <w:lang w:bidi="fa-IR"/>
        </w:rPr>
        <w:t>«وَإِنْ‌ كٰانَ‌ ذُو عُسْرَةٍ‌ فَنَظِرَةٌ‌ إِلىٰ‌ مَيْسَرَةٍ»</w:t>
      </w:r>
      <w:r>
        <w:rPr>
          <w:rStyle w:val="FootnoteReference"/>
          <w:rFonts w:cs="Abz-2 (Badr)"/>
          <w:color w:val="000000" w:themeColor="text1"/>
          <w:sz w:val="26"/>
          <w:szCs w:val="26"/>
          <w:rtl/>
          <w:lang w:bidi="fa-IR"/>
        </w:rPr>
        <w:footnoteReference w:id="6"/>
      </w:r>
      <w:r>
        <w:rPr>
          <w:rFonts w:cs="Abz-2 (Badr)" w:hint="cs"/>
          <w:color w:val="0070C0"/>
          <w:sz w:val="28"/>
          <w:szCs w:val="28"/>
          <w:rtl/>
          <w:lang w:bidi="fa-IR"/>
        </w:rPr>
        <w:t xml:space="preserve"> ولم يفصّل، وقال تعالى: </w:t>
      </w:r>
      <w:r>
        <w:rPr>
          <w:rFonts w:cs="QuranTaha" w:hint="cs"/>
          <w:color w:val="BF8F00" w:themeColor="accent4" w:themeShade="BF"/>
          <w:sz w:val="26"/>
          <w:szCs w:val="26"/>
          <w:rtl/>
          <w:lang w:bidi="fa-IR"/>
        </w:rPr>
        <w:t>«وَأَنْكِحُوا الْأَيٰامىٰ‌ مِنْكُمْ وَالصّٰالِحِينَ‌ مِنْ‌ عِبٰادِكُمْ وَإِمٰائِكُمْ إِنْ يَكُونُوا فُقَرٰاءَ يُغْنِهِمُ اللّٰهُ مِنْ فَضْلِهِ»</w:t>
      </w:r>
      <w:r>
        <w:rPr>
          <w:rStyle w:val="FootnoteReference"/>
          <w:rFonts w:cs="Abz-2 (Badr)"/>
          <w:color w:val="000000" w:themeColor="text1"/>
          <w:sz w:val="26"/>
          <w:szCs w:val="26"/>
          <w:rtl/>
          <w:lang w:bidi="fa-IR"/>
        </w:rPr>
        <w:footnoteReference w:id="7"/>
      </w:r>
      <w:r>
        <w:rPr>
          <w:rFonts w:cs="Abz-2 (Badr)" w:hint="cs"/>
          <w:color w:val="0070C0"/>
          <w:sz w:val="28"/>
          <w:szCs w:val="28"/>
          <w:rtl/>
          <w:lang w:bidi="fa-IR"/>
        </w:rPr>
        <w:t xml:space="preserve">، فندب الفقراء إلى النكاح، فلو كان الفقر </w:t>
      </w:r>
      <w:r>
        <w:rPr>
          <w:rFonts w:cs="Abz-2 (Badr)" w:hint="cs"/>
          <w:color w:val="0070C0"/>
          <w:sz w:val="28"/>
          <w:szCs w:val="28"/>
          <w:rtl/>
          <w:lang w:bidi="fa-IR"/>
        </w:rPr>
        <w:lastRenderedPageBreak/>
        <w:t>سبباً تملك به فسخ النكاح، ما ندب إلى النكاح من يملك الفسخ عقيب النكاح.</w:t>
      </w:r>
    </w:p>
    <w:p w14:paraId="64517CA5" w14:textId="77777777" w:rsidR="00A033A8" w:rsidRDefault="00A033A8" w:rsidP="00A033A8">
      <w:pPr>
        <w:widowControl w:val="0"/>
        <w:bidi/>
        <w:spacing w:after="0" w:line="261" w:lineRule="auto"/>
        <w:ind w:firstLine="284"/>
        <w:jc w:val="both"/>
        <w:rPr>
          <w:rFonts w:cs="Abz-2 (Badr)" w:hint="cs"/>
          <w:color w:val="0070C0"/>
          <w:sz w:val="28"/>
          <w:szCs w:val="28"/>
          <w:rtl/>
          <w:lang w:bidi="fa-IR"/>
        </w:rPr>
      </w:pPr>
      <w:r>
        <w:rPr>
          <w:rFonts w:cs="Abz-2 (Badr)" w:hint="cs"/>
          <w:color w:val="0070C0"/>
          <w:sz w:val="28"/>
          <w:szCs w:val="28"/>
          <w:rtl/>
          <w:lang w:bidi="fa-IR"/>
        </w:rPr>
        <w:t>وأخبار أصحابنا واردة بذلك وقد ذكرناها في مواضعها.»</w:t>
      </w:r>
      <w:r>
        <w:rPr>
          <w:rStyle w:val="FootnoteReference"/>
          <w:rFonts w:cs="Abz-2 (Badr)"/>
          <w:color w:val="000000" w:themeColor="text1"/>
          <w:sz w:val="26"/>
          <w:szCs w:val="26"/>
          <w:rtl/>
          <w:lang w:bidi="fa-IR"/>
        </w:rPr>
        <w:footnoteReference w:id="8"/>
      </w:r>
    </w:p>
    <w:p w14:paraId="2527BA3B" w14:textId="77777777" w:rsidR="00A033A8" w:rsidRDefault="00A033A8" w:rsidP="00A033A8">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مبسوط نيز نظير همين مطلب را بيان کرده</w:t>
      </w:r>
      <w:r>
        <w:rPr>
          <w:rFonts w:cs="Abz-2 (Badr)" w:hint="cs"/>
          <w:color w:val="000000" w:themeColor="text1"/>
          <w:sz w:val="28"/>
          <w:szCs w:val="28"/>
          <w:rtl/>
          <w:lang w:bidi="fa-IR"/>
        </w:rPr>
        <w:softHyphen/>
        <w:t>اند.</w:t>
      </w:r>
      <w:r>
        <w:rPr>
          <w:rStyle w:val="FootnoteReference"/>
          <w:rFonts w:cs="Abz-2 (Badr)"/>
          <w:color w:val="000000" w:themeColor="text1"/>
          <w:sz w:val="26"/>
          <w:szCs w:val="26"/>
          <w:rtl/>
          <w:lang w:bidi="fa-IR"/>
        </w:rPr>
        <w:footnoteReference w:id="9"/>
      </w:r>
      <w:r>
        <w:rPr>
          <w:rFonts w:cs="Abz-2 (Badr)" w:hint="cs"/>
          <w:color w:val="000000" w:themeColor="text1"/>
          <w:sz w:val="28"/>
          <w:szCs w:val="28"/>
          <w:rtl/>
          <w:lang w:bidi="fa-IR"/>
        </w:rPr>
        <w:t xml:space="preserve"> در خلاف هم ايشان قائل به لزوم مهلت دادن به زوج تا زمان يسار شده</w:t>
      </w:r>
      <w:r>
        <w:rPr>
          <w:rFonts w:cs="Abz-2 (Badr)" w:hint="cs"/>
          <w:color w:val="000000" w:themeColor="text1"/>
          <w:sz w:val="28"/>
          <w:szCs w:val="28"/>
          <w:rtl/>
          <w:lang w:bidi="fa-IR"/>
        </w:rPr>
        <w:softHyphen/>
        <w:t>اند.</w:t>
      </w:r>
      <w:r>
        <w:rPr>
          <w:rStyle w:val="FootnoteReference"/>
          <w:rFonts w:cs="Abz-2 (Badr)"/>
          <w:color w:val="000000" w:themeColor="text1"/>
          <w:sz w:val="26"/>
          <w:szCs w:val="26"/>
          <w:rtl/>
          <w:lang w:bidi="fa-IR"/>
        </w:rPr>
        <w:footnoteReference w:id="10"/>
      </w:r>
    </w:p>
    <w:p w14:paraId="00203FAE" w14:textId="77777777" w:rsidR="00A033A8" w:rsidRDefault="00A033A8" w:rsidP="00A033A8">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ابن برّاج</w:t>
      </w:r>
      <w:r>
        <w:rPr>
          <w:rStyle w:val="FootnoteReference"/>
          <w:rFonts w:cs="Abz-2 (Badr)"/>
          <w:color w:val="000000" w:themeColor="text1"/>
          <w:sz w:val="26"/>
          <w:szCs w:val="26"/>
          <w:rtl/>
          <w:lang w:bidi="fa-IR"/>
        </w:rPr>
        <w:footnoteReference w:id="11"/>
      </w:r>
      <w:r>
        <w:rPr>
          <w:rFonts w:cs="Abz-2 (Badr)" w:hint="cs"/>
          <w:color w:val="000000" w:themeColor="text1"/>
          <w:sz w:val="28"/>
          <w:szCs w:val="28"/>
          <w:rtl/>
          <w:lang w:bidi="fa-IR"/>
        </w:rPr>
        <w:t>، ابن حمزة</w:t>
      </w:r>
      <w:r>
        <w:rPr>
          <w:rStyle w:val="FootnoteReference"/>
          <w:rFonts w:cs="Abz-2 (Badr)"/>
          <w:color w:val="000000" w:themeColor="text1"/>
          <w:sz w:val="26"/>
          <w:szCs w:val="26"/>
          <w:rtl/>
          <w:lang w:bidi="fa-IR"/>
        </w:rPr>
        <w:footnoteReference w:id="12"/>
      </w:r>
      <w:r>
        <w:rPr>
          <w:rFonts w:cs="Abz-2 (Badr)" w:hint="cs"/>
          <w:color w:val="000000" w:themeColor="text1"/>
          <w:sz w:val="28"/>
          <w:szCs w:val="28"/>
          <w:rtl/>
          <w:lang w:bidi="fa-IR"/>
        </w:rPr>
        <w:t xml:space="preserve"> و ابن ادريس</w:t>
      </w:r>
      <w:r>
        <w:rPr>
          <w:rStyle w:val="FootnoteReference"/>
          <w:rFonts w:cs="Abz-2 (Badr)"/>
          <w:color w:val="000000" w:themeColor="text1"/>
          <w:sz w:val="26"/>
          <w:szCs w:val="26"/>
          <w:rtl/>
          <w:lang w:bidi="fa-IR"/>
        </w:rPr>
        <w:footnoteReference w:id="13"/>
      </w:r>
      <w:r>
        <w:rPr>
          <w:rFonts w:cs="Abz-2 (Badr)" w:hint="cs"/>
          <w:color w:val="000000" w:themeColor="text1"/>
          <w:sz w:val="28"/>
          <w:szCs w:val="28"/>
          <w:rtl/>
          <w:lang w:bidi="fa-IR"/>
        </w:rPr>
        <w:t xml:space="preserve"> نيز قائل به همين قول شده</w:t>
      </w:r>
      <w:r>
        <w:rPr>
          <w:rFonts w:cs="Abz-2 (Badr)" w:hint="cs"/>
          <w:color w:val="000000" w:themeColor="text1"/>
          <w:sz w:val="28"/>
          <w:szCs w:val="28"/>
          <w:rtl/>
          <w:lang w:bidi="fa-IR"/>
        </w:rPr>
        <w:softHyphen/>
        <w:t>اند.</w:t>
      </w:r>
    </w:p>
    <w:p w14:paraId="7037AC4E" w14:textId="77777777" w:rsidR="00A033A8" w:rsidRDefault="00A033A8" w:rsidP="00A033A8">
      <w:pPr>
        <w:widowControl w:val="0"/>
        <w:bidi/>
        <w:spacing w:after="0" w:line="261" w:lineRule="auto"/>
        <w:ind w:firstLine="284"/>
        <w:jc w:val="both"/>
        <w:rPr>
          <w:rFonts w:cs="Abz-2 (Badr)" w:hint="cs"/>
          <w:color w:val="0070C0"/>
          <w:sz w:val="28"/>
          <w:szCs w:val="28"/>
          <w:rtl/>
          <w:lang w:bidi="ar"/>
        </w:rPr>
      </w:pPr>
      <w:r>
        <w:rPr>
          <w:rFonts w:cs="Abz-2 (Badr)" w:hint="cs"/>
          <w:color w:val="000000" w:themeColor="text1"/>
          <w:sz w:val="28"/>
          <w:szCs w:val="28"/>
          <w:rtl/>
          <w:lang w:bidi="fa-IR"/>
        </w:rPr>
        <w:t>کيدري نيز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إذا أعسر الرجل بنفقة زوجته، فعليها النظرة إلى ميسرة ولا يفسخ الحاكم العقد بمطالبتها.»</w:t>
      </w:r>
      <w:r>
        <w:rPr>
          <w:rStyle w:val="FootnoteReference"/>
          <w:rFonts w:cs="Abz-2 (Badr)"/>
          <w:color w:val="000000" w:themeColor="text1"/>
          <w:sz w:val="26"/>
          <w:szCs w:val="26"/>
          <w:rtl/>
          <w:lang w:bidi="fa-IR"/>
        </w:rPr>
        <w:footnoteReference w:id="14"/>
      </w:r>
    </w:p>
    <w:p w14:paraId="22DA3216" w14:textId="77777777" w:rsidR="00A033A8" w:rsidRDefault="00A033A8" w:rsidP="00A033A8">
      <w:pPr>
        <w:widowControl w:val="0"/>
        <w:bidi/>
        <w:spacing w:after="0" w:line="261"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محقق در نافع، علامه در قواعد و ارشاد، محقق کرکی، صاحب حدائق، صاحب رياض و صاحب جواهر</w:t>
      </w:r>
      <w:r>
        <w:rPr>
          <w:rStyle w:val="FootnoteReference"/>
          <w:rFonts w:cs="Abz-2 (Badr)"/>
          <w:color w:val="000000" w:themeColor="text1"/>
          <w:sz w:val="26"/>
          <w:szCs w:val="26"/>
          <w:rtl/>
          <w:lang w:bidi="fa-IR"/>
        </w:rPr>
        <w:footnoteReference w:id="15"/>
      </w:r>
      <w:r>
        <w:rPr>
          <w:rFonts w:cs="Abz-2 (Badr)" w:hint="cs"/>
          <w:color w:val="000000" w:themeColor="text1"/>
          <w:sz w:val="28"/>
          <w:szCs w:val="28"/>
          <w:rtl/>
          <w:lang w:bidi="fa-IR"/>
        </w:rPr>
        <w:t xml:space="preserve"> نيز قائل به اين شده</w:t>
      </w:r>
      <w:r>
        <w:rPr>
          <w:rFonts w:cs="Abz-2 (Badr)" w:hint="cs"/>
          <w:color w:val="000000" w:themeColor="text1"/>
          <w:sz w:val="28"/>
          <w:szCs w:val="28"/>
          <w:rtl/>
          <w:lang w:bidi="fa-IR"/>
        </w:rPr>
        <w:softHyphen/>
        <w:t>اند که زوجه حقی برای فسخ يا مطالبه طلاق در فرض مذکور ندارد.</w:t>
      </w:r>
    </w:p>
    <w:p w14:paraId="27C040B3" w14:textId="77777777" w:rsidR="00A033A8" w:rsidRDefault="00A033A8" w:rsidP="00A033A8">
      <w:pPr>
        <w:widowControl w:val="0"/>
        <w:bidi/>
        <w:spacing w:after="0" w:line="261" w:lineRule="auto"/>
        <w:ind w:firstLine="284"/>
        <w:jc w:val="both"/>
        <w:rPr>
          <w:rFonts w:cs="Abz-2 (Badr)" w:hint="cs"/>
          <w:color w:val="0070C0"/>
          <w:spacing w:val="-4"/>
          <w:sz w:val="28"/>
          <w:szCs w:val="28"/>
          <w:rtl/>
          <w:lang w:bidi="ar"/>
        </w:rPr>
      </w:pPr>
      <w:r>
        <w:rPr>
          <w:rFonts w:cs="Abz-2 (Badr)" w:hint="cs"/>
          <w:color w:val="000000" w:themeColor="text1"/>
          <w:spacing w:val="-4"/>
          <w:sz w:val="28"/>
          <w:szCs w:val="28"/>
          <w:rtl/>
          <w:lang w:bidi="fa-IR"/>
        </w:rPr>
        <w:lastRenderedPageBreak/>
        <w:t>بلکه علامه در مختلف</w:t>
      </w:r>
      <w:r>
        <w:rPr>
          <w:rStyle w:val="FootnoteReference"/>
          <w:rFonts w:cs="Abz-2 (Badr)"/>
          <w:color w:val="000000" w:themeColor="text1"/>
          <w:spacing w:val="-4"/>
          <w:sz w:val="26"/>
          <w:szCs w:val="26"/>
          <w:rtl/>
          <w:lang w:bidi="fa-IR"/>
        </w:rPr>
        <w:footnoteReference w:id="16"/>
      </w:r>
      <w:r>
        <w:rPr>
          <w:rFonts w:cs="Abz-2 (Badr)" w:hint="cs"/>
          <w:color w:val="000000" w:themeColor="text1"/>
          <w:spacing w:val="-4"/>
          <w:sz w:val="28"/>
          <w:szCs w:val="28"/>
          <w:rtl/>
          <w:lang w:bidi="fa-IR"/>
        </w:rPr>
        <w:t xml:space="preserve"> ادعای شهرت بر اين قول کرده است. هرچند در ادامه مطلب فرموده است: </w:t>
      </w:r>
      <w:r>
        <w:rPr>
          <w:rFonts w:cs="Abz-2 (Badr)" w:hint="cs"/>
          <w:color w:val="0070C0"/>
          <w:spacing w:val="-4"/>
          <w:sz w:val="28"/>
          <w:szCs w:val="28"/>
          <w:rtl/>
          <w:lang w:bidi="fa-IR"/>
        </w:rPr>
        <w:t>«</w:t>
      </w:r>
      <w:r>
        <w:rPr>
          <w:rFonts w:cs="Abz-2 (Badr)" w:hint="cs"/>
          <w:color w:val="0070C0"/>
          <w:spacing w:val="-4"/>
          <w:sz w:val="28"/>
          <w:szCs w:val="28"/>
          <w:rtl/>
          <w:lang w:bidi="ar"/>
        </w:rPr>
        <w:t>قال ابن الجنيد بالخيار، لرواية عن الصادق(ع). ولاشتماله على الضرر، إذ لا يمكنه الإنفاق لعسره، فلو لم يجعل لها الخيار لزم الحرج المنفيّ بالإجماع.</w:t>
      </w:r>
    </w:p>
    <w:p w14:paraId="157ECA2D" w14:textId="77777777" w:rsidR="00A033A8" w:rsidRDefault="00A033A8" w:rsidP="00A033A8">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وهو معارض بما روي عن أمير المؤمنين(ع): أنّ‌ امرأة استعدت على زوجها أنّه لا ينفق عليها وكان زوجها معسراً، فأبى أمير المؤمنين(ع) أن يحبسه وقال:</w:t>
      </w:r>
      <w:r>
        <w:rPr>
          <w:rFonts w:cs="Abz-2 (Badr)" w:hint="cs"/>
          <w:color w:val="000000" w:themeColor="text1"/>
          <w:sz w:val="28"/>
          <w:szCs w:val="28"/>
          <w:rtl/>
          <w:lang w:bidi="ar"/>
        </w:rPr>
        <w:t xml:space="preserve"> </w:t>
      </w:r>
      <w:r>
        <w:rPr>
          <w:rFonts w:cs="QuranTaha" w:hint="cs"/>
          <w:color w:val="BF8F00" w:themeColor="accent4" w:themeShade="BF"/>
          <w:sz w:val="26"/>
          <w:szCs w:val="26"/>
          <w:rtl/>
          <w:lang w:bidi="fa-IR"/>
        </w:rPr>
        <w:t>«إِنَّ‌ مَعَ‌ الْعُسْرِ يُسْراً»</w:t>
      </w:r>
      <w:r>
        <w:rPr>
          <w:rStyle w:val="FootnoteReference"/>
          <w:rFonts w:cs="Abz-2 (Badr)"/>
          <w:color w:val="000000" w:themeColor="text1"/>
          <w:sz w:val="26"/>
          <w:szCs w:val="26"/>
          <w:rtl/>
          <w:lang w:bidi="fa-IR"/>
        </w:rPr>
        <w:footnoteReference w:id="17"/>
      </w:r>
      <w:r>
        <w:rPr>
          <w:rFonts w:cs="Abz-2 (Badr)" w:hint="cs"/>
          <w:color w:val="0070C0"/>
          <w:sz w:val="28"/>
          <w:szCs w:val="28"/>
          <w:rtl/>
          <w:lang w:bidi="ar"/>
        </w:rPr>
        <w:t xml:space="preserve">. </w:t>
      </w:r>
    </w:p>
    <w:p w14:paraId="3C1EEE33" w14:textId="77777777" w:rsidR="00A033A8" w:rsidRDefault="00A033A8" w:rsidP="00A033A8">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والجواب: نحن لا نوجب الحبس بل نقول بالخيار في الفسخ.</w:t>
      </w:r>
    </w:p>
    <w:p w14:paraId="09A4E9CE" w14:textId="77777777" w:rsidR="00A033A8" w:rsidRDefault="00A033A8" w:rsidP="00A033A8">
      <w:pPr>
        <w:widowControl w:val="0"/>
        <w:bidi/>
        <w:spacing w:after="0" w:line="244" w:lineRule="auto"/>
        <w:ind w:firstLine="284"/>
        <w:jc w:val="both"/>
        <w:rPr>
          <w:rFonts w:cs="Abz-2 (Badr)" w:hint="cs"/>
          <w:color w:val="0070C0"/>
          <w:sz w:val="28"/>
          <w:szCs w:val="28"/>
          <w:rtl/>
          <w:lang w:bidi="ar"/>
        </w:rPr>
      </w:pPr>
      <w:r>
        <w:rPr>
          <w:rFonts w:cs="Abz-2 (Badr)" w:hint="cs"/>
          <w:color w:val="0070C0"/>
          <w:sz w:val="28"/>
          <w:szCs w:val="28"/>
          <w:rtl/>
          <w:lang w:bidi="ar"/>
        </w:rPr>
        <w:t>ونحن في ذلك من المتوقّفين.»</w:t>
      </w:r>
      <w:r>
        <w:rPr>
          <w:rStyle w:val="FootnoteReference"/>
          <w:rFonts w:cs="Abz-2 (Badr)"/>
          <w:color w:val="000000" w:themeColor="text1"/>
          <w:sz w:val="26"/>
          <w:szCs w:val="26"/>
          <w:rtl/>
          <w:lang w:bidi="fa-IR"/>
        </w:rPr>
        <w:footnoteReference w:id="18"/>
      </w:r>
    </w:p>
    <w:p w14:paraId="16AA3E0F" w14:textId="77777777" w:rsidR="00A033A8" w:rsidRDefault="00A033A8" w:rsidP="00A033A8">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ar"/>
        </w:rPr>
        <w:t>ظاهر کلام محقق در شرائع، صاحب مسال</w:t>
      </w:r>
      <w:r>
        <w:rPr>
          <w:rFonts w:cs="Abz-2 (Badr)" w:hint="cs"/>
          <w:color w:val="000000" w:themeColor="text1"/>
          <w:sz w:val="28"/>
          <w:szCs w:val="28"/>
          <w:rtl/>
        </w:rPr>
        <w:t>ك</w:t>
      </w:r>
      <w:r>
        <w:rPr>
          <w:rFonts w:cs="Abz-2 (Badr)" w:hint="cs"/>
          <w:color w:val="000000" w:themeColor="text1"/>
          <w:sz w:val="28"/>
          <w:szCs w:val="28"/>
          <w:rtl/>
          <w:lang w:bidi="fa-IR"/>
        </w:rPr>
        <w:t xml:space="preserve"> </w:t>
      </w:r>
      <w:r>
        <w:rPr>
          <w:rFonts w:cs="Abz-2 (Badr)" w:hint="cs"/>
          <w:color w:val="000000" w:themeColor="text1"/>
          <w:sz w:val="28"/>
          <w:szCs w:val="28"/>
          <w:rtl/>
          <w:lang w:bidi="ar"/>
        </w:rPr>
        <w:t>و فيض کاشانی</w:t>
      </w:r>
      <w:r>
        <w:rPr>
          <w:rStyle w:val="FootnoteReference"/>
          <w:rFonts w:cs="Abz-2 (Badr)"/>
          <w:color w:val="000000" w:themeColor="text1"/>
          <w:sz w:val="26"/>
          <w:szCs w:val="26"/>
          <w:rtl/>
          <w:lang w:bidi="fa-IR"/>
        </w:rPr>
        <w:footnoteReference w:id="19"/>
      </w:r>
      <w:r>
        <w:rPr>
          <w:rFonts w:cs="Abz-2 (Badr)" w:hint="cs"/>
          <w:color w:val="000000" w:themeColor="text1"/>
          <w:sz w:val="28"/>
          <w:szCs w:val="28"/>
          <w:rtl/>
          <w:lang w:bidi="ar"/>
        </w:rPr>
        <w:t xml:space="preserve"> نيز توقف در مسأله است.</w:t>
      </w:r>
    </w:p>
    <w:p w14:paraId="1C1B7E19" w14:textId="77777777" w:rsidR="00A033A8" w:rsidRDefault="00A033A8" w:rsidP="00A033A8">
      <w:pPr>
        <w:widowControl w:val="0"/>
        <w:bidi/>
        <w:spacing w:after="0" w:line="244" w:lineRule="auto"/>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مفيد نيز در مقنعه فرموده است: </w:t>
      </w:r>
      <w:r>
        <w:rPr>
          <w:rFonts w:cs="Abz-2 (Badr)" w:hint="cs"/>
          <w:color w:val="0070C0"/>
          <w:sz w:val="28"/>
          <w:szCs w:val="28"/>
          <w:rtl/>
          <w:lang w:bidi="fa-IR"/>
        </w:rPr>
        <w:t>«</w:t>
      </w:r>
      <w:r>
        <w:rPr>
          <w:rFonts w:cs="Abz-2 (Badr)" w:hint="cs"/>
          <w:color w:val="0070C0"/>
          <w:sz w:val="28"/>
          <w:szCs w:val="28"/>
          <w:rtl/>
          <w:lang w:bidi="ar"/>
        </w:rPr>
        <w:t>ليس للحاكم أن يجبر الزوج‌ على الفراق إلا أن يمنع واجباً للزوجة من حقوق النكاح.»</w:t>
      </w:r>
      <w:r>
        <w:rPr>
          <w:rStyle w:val="FootnoteReference"/>
          <w:rFonts w:cs="Abz-2 (Badr)"/>
          <w:color w:val="000000" w:themeColor="text1"/>
          <w:sz w:val="26"/>
          <w:szCs w:val="26"/>
          <w:rtl/>
          <w:lang w:bidi="fa-IR"/>
        </w:rPr>
        <w:footnoteReference w:id="20"/>
      </w:r>
    </w:p>
    <w:p w14:paraId="65C144D8" w14:textId="77777777" w:rsidR="00A033A8" w:rsidRDefault="00A033A8" w:rsidP="00A033A8">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ابن زهره نيز نظير اين کلام را بيان کرده است.</w:t>
      </w:r>
      <w:r>
        <w:rPr>
          <w:rStyle w:val="FootnoteReference"/>
          <w:rFonts w:cs="Abz-2 (Badr)"/>
          <w:color w:val="000000" w:themeColor="text1"/>
          <w:sz w:val="26"/>
          <w:szCs w:val="26"/>
          <w:rtl/>
          <w:lang w:bidi="fa-IR"/>
        </w:rPr>
        <w:footnoteReference w:id="21"/>
      </w:r>
    </w:p>
    <w:p w14:paraId="427B0269" w14:textId="77777777" w:rsidR="00A033A8" w:rsidRDefault="00A033A8" w:rsidP="00A033A8">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البته اين کلام دو وجه دارد؛ چنانچه مراد ايشان از «منع زوج از حقوق واجب زوجه» اين باشد که زوج عمداً چنين </w:t>
      </w:r>
      <w:r>
        <w:rPr>
          <w:rFonts w:cs="Abz-2 (Badr)" w:hint="cs"/>
          <w:color w:val="000000" w:themeColor="text1"/>
          <w:sz w:val="28"/>
          <w:szCs w:val="28"/>
          <w:rtl/>
          <w:lang w:bidi="fa-IR"/>
        </w:rPr>
        <w:lastRenderedPageBreak/>
        <w:t>عملی را انجام دهد، در ما نحن فيه می</w:t>
      </w:r>
      <w:r>
        <w:rPr>
          <w:rFonts w:cs="Abz-2 (Badr)" w:hint="cs"/>
          <w:color w:val="000000" w:themeColor="text1"/>
          <w:sz w:val="28"/>
          <w:szCs w:val="28"/>
          <w:rtl/>
          <w:lang w:bidi="fa-IR"/>
        </w:rPr>
        <w:softHyphen/>
        <w:t>توان گفت که زوجه حق مطالبه طلاق ندارد، اما اگر مقصود اين باشد که زوج به هر جهتی حقوق واجبه زوجه را ادا ننمايد ولو به اين خاطر که قدرت بر آن را ندارد، در اين صورت اين کلام دلالت بر جواز مطالبه طلاق توسط زوجه خواهد داشت.</w:t>
      </w:r>
    </w:p>
    <w:p w14:paraId="04185E39" w14:textId="77777777" w:rsidR="00A033A8" w:rsidRDefault="00A033A8" w:rsidP="00A033A8">
      <w:pPr>
        <w:widowControl w:val="0"/>
        <w:bidi/>
        <w:spacing w:after="0" w:line="244"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ادامه مطالب اصحاب را جلسه آينده مطرح خواهيم کرد ان شاء الله.</w:t>
      </w:r>
    </w:p>
    <w:p w14:paraId="35E36FA6" w14:textId="77777777" w:rsidR="00A033A8" w:rsidRDefault="00A033A8" w:rsidP="00A033A8">
      <w:pPr>
        <w:widowControl w:val="0"/>
        <w:bidi/>
        <w:spacing w:after="0"/>
        <w:ind w:firstLine="284"/>
        <w:jc w:val="both"/>
        <w:rPr>
          <w:rFonts w:cs="Abz-2 (Badr)" w:hint="cs"/>
          <w:color w:val="000000" w:themeColor="text1"/>
          <w:sz w:val="28"/>
          <w:szCs w:val="28"/>
          <w:rtl/>
          <w:lang w:bidi="fa-IR"/>
        </w:rPr>
      </w:pPr>
    </w:p>
    <w:p w14:paraId="2AD04477" w14:textId="7D63A4A4" w:rsidR="00B706A3" w:rsidRPr="00A033A8" w:rsidRDefault="00B706A3" w:rsidP="00A033A8">
      <w:pPr>
        <w:rPr>
          <w:rtl/>
        </w:rPr>
      </w:pPr>
    </w:p>
    <w:sectPr w:rsidR="00B706A3" w:rsidRPr="00A033A8"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D75DF" w14:textId="77777777" w:rsidR="00CC4D43" w:rsidRDefault="00CC4D43" w:rsidP="00F71127">
      <w:pPr>
        <w:spacing w:after="0" w:line="240" w:lineRule="auto"/>
      </w:pPr>
      <w:r>
        <w:separator/>
      </w:r>
    </w:p>
  </w:endnote>
  <w:endnote w:type="continuationSeparator" w:id="0">
    <w:p w14:paraId="65888650" w14:textId="77777777" w:rsidR="00CC4D43" w:rsidRDefault="00CC4D4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650A" w14:textId="77777777" w:rsidR="00CE3067" w:rsidRDefault="00CE3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5CA9E" w14:textId="77777777" w:rsidR="00CE3067" w:rsidRDefault="00CE3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29B71" w14:textId="77777777" w:rsidR="00CC4D43" w:rsidRDefault="00CC4D43" w:rsidP="00EE25C0">
      <w:pPr>
        <w:bidi/>
        <w:spacing w:after="0" w:line="240" w:lineRule="auto"/>
      </w:pPr>
      <w:r>
        <w:separator/>
      </w:r>
    </w:p>
  </w:footnote>
  <w:footnote w:type="continuationSeparator" w:id="0">
    <w:p w14:paraId="69507FE7" w14:textId="77777777" w:rsidR="00CC4D43" w:rsidRDefault="00CC4D43" w:rsidP="00F71127">
      <w:pPr>
        <w:bidi/>
        <w:spacing w:after="0" w:line="240" w:lineRule="auto"/>
      </w:pPr>
      <w:r>
        <w:continuationSeparator/>
      </w:r>
    </w:p>
  </w:footnote>
  <w:footnote w:id="1">
    <w:p w14:paraId="713EFCF5" w14:textId="77777777" w:rsidR="00A033A8" w:rsidRDefault="00A033A8" w:rsidP="00A033A8">
      <w:pPr>
        <w:pStyle w:val="FootnoteText"/>
        <w:bidi/>
        <w:rPr>
          <w:rFonts w:cs="Abz-2 (Badr)" w:hint="cs"/>
          <w:rtl/>
        </w:rPr>
      </w:pPr>
      <w:r>
        <w:rPr>
          <w:rFonts w:cs="Abz-2 (Badr)"/>
        </w:rPr>
        <w:footnoteRef/>
      </w:r>
      <w:r>
        <w:rPr>
          <w:rFonts w:cs="Abz-2 (Badr)" w:hint="cs"/>
          <w:rtl/>
        </w:rPr>
        <w:t xml:space="preserve"> ـ «الإزراء: التهاون بالشىء. يقال: أَزْرَيْتُ به، إذا قصّرت به. وازْدَرَيْتُهُ، أي: حقرته»؛ الصحاح،ج6،ص2368.</w:t>
      </w:r>
    </w:p>
  </w:footnote>
  <w:footnote w:id="2">
    <w:p w14:paraId="187B320D" w14:textId="77777777" w:rsidR="00A033A8" w:rsidRDefault="00A033A8" w:rsidP="00A033A8">
      <w:pPr>
        <w:pStyle w:val="FootnoteText"/>
        <w:bidi/>
        <w:rPr>
          <w:rFonts w:cs="Abz-2 (Badr)" w:hint="cs"/>
          <w:rtl/>
        </w:rPr>
      </w:pPr>
      <w:r>
        <w:rPr>
          <w:rFonts w:cs="Abz-2 (Badr)"/>
        </w:rPr>
        <w:footnoteRef/>
      </w:r>
      <w:r>
        <w:rPr>
          <w:rFonts w:cs="Abz-2 (Badr)" w:hint="cs"/>
          <w:rtl/>
        </w:rPr>
        <w:t xml:space="preserve"> ـ «الدميم: القبيح»؛ الصحاح،ج5،ص1921.</w:t>
      </w:r>
    </w:p>
  </w:footnote>
  <w:footnote w:id="3">
    <w:p w14:paraId="493BD7B1" w14:textId="77777777" w:rsidR="00A033A8" w:rsidRDefault="00A033A8" w:rsidP="00A033A8">
      <w:pPr>
        <w:pStyle w:val="FootnoteText"/>
        <w:bidi/>
        <w:rPr>
          <w:rFonts w:cs="Abz-2 (Badr)" w:hint="cs"/>
          <w:rtl/>
        </w:rPr>
      </w:pPr>
      <w:r>
        <w:rPr>
          <w:rFonts w:cs="Abz-2 (Badr)"/>
        </w:rPr>
        <w:footnoteRef/>
      </w:r>
      <w:r>
        <w:rPr>
          <w:rFonts w:cs="Abz-2 (Badr)" w:hint="cs"/>
          <w:rtl/>
        </w:rPr>
        <w:t xml:space="preserve"> ـ «غَضَاضَةٌ، أي: ذلّة ومنقصة»؛ الصحاح،ج3،ص1095.</w:t>
      </w:r>
    </w:p>
  </w:footnote>
  <w:footnote w:id="4">
    <w:p w14:paraId="17CE7945" w14:textId="77777777" w:rsidR="00A033A8" w:rsidRDefault="00A033A8" w:rsidP="00A033A8">
      <w:pPr>
        <w:pStyle w:val="FootnoteText"/>
        <w:bidi/>
        <w:rPr>
          <w:rFonts w:cs="Abz-2 (Badr)" w:hint="cs"/>
          <w:rtl/>
        </w:rPr>
      </w:pPr>
      <w:r>
        <w:rPr>
          <w:rFonts w:cs="Abz-2 (Badr)"/>
        </w:rPr>
        <w:footnoteRef/>
      </w:r>
      <w:r>
        <w:rPr>
          <w:rFonts w:cs="Abz-2 (Badr)" w:hint="cs"/>
          <w:rtl/>
        </w:rPr>
        <w:t xml:space="preserve"> ـ «انتجعتُ فلاناً: إذا أتيتَه تطلب معروفه»؛ الصحاح،ج3،ص1288.</w:t>
      </w:r>
    </w:p>
  </w:footnote>
  <w:footnote w:id="5">
    <w:p w14:paraId="670F08FB"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hint="cs"/>
          <w:rtl/>
        </w:rPr>
        <w:t xml:space="preserve"> ـ الکافي،ج5،ص،ص339 – 343،ح1 ـ وسائل الشيعة، الباب 25 من أبواب مقدّمات النکاح وآدابه،ح1،ج20،ص67 و 68.</w:t>
      </w:r>
    </w:p>
  </w:footnote>
  <w:footnote w:id="6">
    <w:p w14:paraId="46D878DF"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البقرة(2):280.</w:t>
      </w:r>
    </w:p>
  </w:footnote>
  <w:footnote w:id="7">
    <w:p w14:paraId="79A1EE3B"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النور(24):32.</w:t>
      </w:r>
    </w:p>
  </w:footnote>
  <w:footnote w:id="8">
    <w:p w14:paraId="543D4ADD"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کتاب الخلاف،ج5،ص117 و 118.</w:t>
      </w:r>
    </w:p>
  </w:footnote>
  <w:footnote w:id="9">
    <w:p w14:paraId="4E6DDCD2"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المبسوط،ج6،ص21.</w:t>
      </w:r>
    </w:p>
  </w:footnote>
  <w:footnote w:id="10">
    <w:p w14:paraId="67BD4AA4"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النهاية في مجرّد الفقه والفتاوی،ص475.</w:t>
      </w:r>
    </w:p>
  </w:footnote>
  <w:footnote w:id="11">
    <w:p w14:paraId="63E55410"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المهذّب،ج2،ص348.</w:t>
      </w:r>
    </w:p>
  </w:footnote>
  <w:footnote w:id="12">
    <w:p w14:paraId="6FD6C586"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الوسيلة،ص286.</w:t>
      </w:r>
    </w:p>
  </w:footnote>
  <w:footnote w:id="13">
    <w:p w14:paraId="1D648C1C"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کتاب السرائر،ج2،ص656.</w:t>
      </w:r>
    </w:p>
  </w:footnote>
  <w:footnote w:id="14">
    <w:p w14:paraId="355FCD56"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إصباح الشيعة،ص445.</w:t>
      </w:r>
    </w:p>
  </w:footnote>
  <w:footnote w:id="15">
    <w:p w14:paraId="37553ACD"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المختصر النافع،ج1،ص180 ـ قواعد الأحکام،ج3،ص15 و 111 ـ إرشاد الأذهان،ج2،ص30 ـ جامع المقاصد،ج12،ص138 ـ الحدائق الناضرة،ج24،ص80 ـ رياض المسائل،ج11،ص294 ـ جواهر الکلام،ج30،ص5.</w:t>
      </w:r>
    </w:p>
  </w:footnote>
  <w:footnote w:id="16">
    <w:p w14:paraId="5BBDAD27"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الشيعة،ج7،ص326.</w:t>
      </w:r>
    </w:p>
  </w:footnote>
  <w:footnote w:id="17">
    <w:p w14:paraId="16A8937A"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الشرح(94):6.</w:t>
      </w:r>
    </w:p>
  </w:footnote>
  <w:footnote w:id="18">
    <w:p w14:paraId="5C2E6EC8"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مختلف الشيعة،ج7،ص327.</w:t>
      </w:r>
    </w:p>
  </w:footnote>
  <w:footnote w:id="19">
    <w:p w14:paraId="7C5CE916"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شرائع الإسلام،ج2،ص244 ـ مسالك الأفهام،ج7،ص407 و 408 ـ مفاتيح الشرائع،ج2،ص196.</w:t>
      </w:r>
    </w:p>
  </w:footnote>
  <w:footnote w:id="20">
    <w:p w14:paraId="1366E98E"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المقنعة،ص519.</w:t>
      </w:r>
    </w:p>
  </w:footnote>
  <w:footnote w:id="21">
    <w:p w14:paraId="6E1AAA19" w14:textId="77777777" w:rsidR="00A033A8" w:rsidRDefault="00A033A8" w:rsidP="00A033A8">
      <w:pPr>
        <w:pStyle w:val="FootnoteText"/>
        <w:bidi/>
        <w:rPr>
          <w:rFonts w:cs="Abz-2 (Badr)" w:hint="cs"/>
          <w:rtl/>
          <w:lang w:bidi="fa-IR"/>
        </w:rPr>
      </w:pPr>
      <w:r>
        <w:rPr>
          <w:rStyle w:val="FootnoteReference"/>
          <w:rFonts w:cs="Abz-2 (Badr)"/>
        </w:rPr>
        <w:footnoteRef/>
      </w:r>
      <w:r>
        <w:rPr>
          <w:rFonts w:cs="Abz-2 (Badr)"/>
        </w:rPr>
        <w:t xml:space="preserve"> </w:t>
      </w:r>
      <w:r>
        <w:rPr>
          <w:rFonts w:cs="Abz-2 (Badr)" w:hint="cs"/>
          <w:rtl/>
        </w:rPr>
        <w:t>ـ غنية النزوع،ج2،ص353.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2D378" w14:textId="77777777" w:rsidR="00CE3067" w:rsidRDefault="00CE30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59ED39D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A033A8">
                            <w:rPr>
                              <w:rFonts w:cs="B Mehr" w:hint="cs"/>
                              <w:rtl/>
                              <w:lang w:bidi="fa-IR"/>
                            </w:rPr>
                            <w:t>چهار</w:t>
                          </w:r>
                          <w:r w:rsidR="00CE306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A033A8">
                            <w:rPr>
                              <w:rFonts w:cs="B Mehr" w:hint="cs"/>
                              <w:rtl/>
                              <w:lang w:bidi="fa-IR"/>
                            </w:rPr>
                            <w:t>08</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59ED39D3"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A033A8">
                      <w:rPr>
                        <w:rFonts w:cs="B Mehr" w:hint="cs"/>
                        <w:rtl/>
                        <w:lang w:bidi="fa-IR"/>
                      </w:rPr>
                      <w:t>چهار</w:t>
                    </w:r>
                    <w:r w:rsidR="00CE306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A033A8">
                      <w:rPr>
                        <w:rFonts w:cs="B Mehr" w:hint="cs"/>
                        <w:rtl/>
                        <w:lang w:bidi="fa-IR"/>
                      </w:rPr>
                      <w:t>08</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09BC" w14:textId="77777777" w:rsidR="00CE3067" w:rsidRDefault="00CE30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747</cp:revision>
  <cp:lastPrinted>2025-04-14T09:12:00Z</cp:lastPrinted>
  <dcterms:created xsi:type="dcterms:W3CDTF">2022-10-16T08:36:00Z</dcterms:created>
  <dcterms:modified xsi:type="dcterms:W3CDTF">2026-10-27T08:20:00Z</dcterms:modified>
</cp:coreProperties>
</file>